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07" w:rsidRPr="00702C1B" w:rsidRDefault="00133D07" w:rsidP="00133D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</w:pPr>
      <w:r w:rsidRPr="00702C1B"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  <w:t>Société des Brasseries du Maroc</w:t>
      </w:r>
    </w:p>
    <w:p w:rsidR="00133D07" w:rsidRPr="00133D07" w:rsidRDefault="00702C1B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36"/>
          <w:szCs w:val="36"/>
          <w:u w:val="single"/>
        </w:rPr>
      </w:pPr>
      <w:r w:rsidRPr="00133D07">
        <w:rPr>
          <w:rFonts w:ascii="Century Gothic" w:hAnsi="Century Gothic" w:cs="Kievit-Regular"/>
          <w:b/>
          <w:i/>
          <w:color w:val="1A181C"/>
          <w:sz w:val="36"/>
          <w:szCs w:val="36"/>
          <w:u w:val="single"/>
        </w:rPr>
        <w:t>Assemblée Générale Ordinaire</w:t>
      </w:r>
    </w:p>
    <w:p w:rsidR="00133D07" w:rsidRDefault="00133D07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</w:pPr>
    </w:p>
    <w:p w:rsidR="007102DE" w:rsidRDefault="00133D07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</w:pPr>
      <w:r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  <w:t xml:space="preserve">Lundi </w:t>
      </w:r>
      <w:r w:rsidR="007102DE">
        <w:rPr>
          <w:rFonts w:ascii="Century Gothic" w:hAnsi="Century Gothic" w:cs="Kievit-Bold"/>
          <w:b/>
          <w:bCs/>
          <w:i/>
          <w:color w:val="1A181C"/>
          <w:sz w:val="24"/>
          <w:szCs w:val="24"/>
          <w:u w:val="single"/>
        </w:rPr>
        <w:t>23 avril 2018</w:t>
      </w:r>
      <w:r>
        <w:rPr>
          <w:rFonts w:ascii="Century Gothic" w:hAnsi="Century Gothic" w:cs="Kievit-Bold"/>
          <w:b/>
          <w:bCs/>
          <w:i/>
          <w:color w:val="1A181C"/>
          <w:sz w:val="24"/>
          <w:szCs w:val="24"/>
          <w:u w:val="single"/>
        </w:rPr>
        <w:t xml:space="preserve"> à 15H30 </w:t>
      </w:r>
    </w:p>
    <w:p w:rsidR="00133D07" w:rsidRPr="00133D07" w:rsidRDefault="00133D07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</w:pPr>
      <w:r w:rsidRPr="00133D07"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  <w:t xml:space="preserve">Au siège social, </w:t>
      </w:r>
    </w:p>
    <w:p w:rsidR="007102DE" w:rsidRPr="00133D07" w:rsidRDefault="00133D07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</w:pPr>
      <w:r w:rsidRPr="00133D07"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  <w:t>Boulevard Ahl Loghlam, Ain Sebâa, Casablanca</w:t>
      </w:r>
    </w:p>
    <w:p w:rsidR="00702C1B" w:rsidRDefault="00702C1B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5F7367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5F7367">
        <w:rPr>
          <w:rFonts w:ascii="Century Gothic" w:hAnsi="Century Gothic" w:cs="Arial"/>
          <w:b/>
          <w:color w:val="000000"/>
          <w:sz w:val="20"/>
          <w:szCs w:val="20"/>
        </w:rPr>
        <w:t>Le soussigné :</w:t>
      </w:r>
    </w:p>
    <w:p w:rsid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  <w:sz w:val="20"/>
          <w:szCs w:val="20"/>
        </w:rPr>
      </w:pPr>
    </w:p>
    <w:p w:rsidR="005F7367" w:rsidRP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</w:rPr>
      </w:pPr>
      <w:r w:rsidRPr="005F7367">
        <w:rPr>
          <w:rFonts w:ascii="Century Gothic" w:hAnsi="Century Gothic" w:cs="FSLola-Bold"/>
          <w:bCs/>
          <w:color w:val="1A181C"/>
        </w:rPr>
        <w:t>Nom, prénom (ou raison sociale) …………………………………………………………………………….</w:t>
      </w:r>
    </w:p>
    <w:p w:rsidR="007102DE" w:rsidRP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5F7367">
        <w:rPr>
          <w:rFonts w:ascii="Century Gothic" w:hAnsi="Century Gothic" w:cs="FSLola-Bold"/>
          <w:bCs/>
          <w:color w:val="1A181C"/>
        </w:rPr>
        <w:t xml:space="preserve">Domicile </w:t>
      </w:r>
      <w:r w:rsidRPr="005F7367">
        <w:rPr>
          <w:rFonts w:ascii="Century Gothic" w:hAnsi="Century Gothic" w:cs="Arial"/>
          <w:color w:val="000000"/>
        </w:rPr>
        <w:t>(ou siège social) ………………………………………………………………………………………..</w:t>
      </w:r>
    </w:p>
    <w:p w:rsidR="007102DE" w:rsidRP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5F7367">
        <w:rPr>
          <w:rFonts w:ascii="Century Gothic" w:hAnsi="Century Gothic" w:cs="Arial"/>
          <w:color w:val="000000"/>
        </w:rPr>
        <w:t>Titulaire de …………………………………….</w:t>
      </w:r>
      <w:r w:rsidR="007102DE" w:rsidRPr="005F7367">
        <w:rPr>
          <w:rFonts w:ascii="Century Gothic" w:hAnsi="Century Gothic" w:cs="FSLola-Bold"/>
          <w:bCs/>
          <w:color w:val="1A181C"/>
        </w:rPr>
        <w:t xml:space="preserve">actions (s) de la </w:t>
      </w:r>
      <w:r w:rsidRPr="005F7367">
        <w:rPr>
          <w:rFonts w:ascii="Century Gothic" w:hAnsi="Century Gothic" w:cs="FSLola-Bold"/>
          <w:bCs/>
          <w:color w:val="1A181C"/>
        </w:rPr>
        <w:t>société des Brasseries du Maroc</w:t>
      </w:r>
      <w:r w:rsidR="007102DE" w:rsidRPr="005F7367">
        <w:rPr>
          <w:rFonts w:ascii="Century Gothic" w:hAnsi="Century Gothic" w:cs="FSLola-Bold"/>
          <w:bCs/>
          <w:color w:val="1A181C"/>
        </w:rPr>
        <w:t>.</w:t>
      </w:r>
    </w:p>
    <w:p w:rsidR="007102DE" w:rsidRPr="005F7367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u w:val="single"/>
        </w:rPr>
      </w:pPr>
    </w:p>
    <w:p w:rsidR="007102DE" w:rsidRP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</w:rPr>
      </w:pPr>
      <w:r w:rsidRPr="005F7367">
        <w:rPr>
          <w:rFonts w:ascii="Century Gothic" w:hAnsi="Century Gothic" w:cs="FSLola-Bold"/>
          <w:bCs/>
          <w:color w:val="1A181C"/>
        </w:rPr>
        <w:t>Après avoir pris connaissance du texte des résolutions proposées au vote de l’Assemblée Générale du 23 avril 2018 ci-annexé, et conformément à l’article 131 bis de la loi 17-95 relative aux sociétés anonymes et de l’article 34 des statuts de la Société des Brasseries du Maroc.</w:t>
      </w:r>
    </w:p>
    <w:p w:rsidR="007102DE" w:rsidRPr="005F7367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</w:rPr>
      </w:pPr>
    </w:p>
    <w:p w:rsid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</w:rPr>
      </w:pPr>
      <w:r>
        <w:rPr>
          <w:rFonts w:ascii="Century Gothic" w:hAnsi="Century Gothic" w:cs="FSLola-Bold"/>
          <w:bCs/>
          <w:color w:val="1A181C"/>
        </w:rPr>
        <w:t>Déclare é</w:t>
      </w:r>
      <w:r w:rsidRPr="005F7367">
        <w:rPr>
          <w:rFonts w:ascii="Century Gothic" w:hAnsi="Century Gothic" w:cs="FSLola-Bold"/>
          <w:bCs/>
          <w:color w:val="1A181C"/>
        </w:rPr>
        <w:t>mettre les votes suivants sur lesdites r</w:t>
      </w:r>
      <w:r>
        <w:rPr>
          <w:rFonts w:ascii="Century Gothic" w:hAnsi="Century Gothic" w:cs="FSLola-Bold"/>
          <w:bCs/>
          <w:color w:val="1A181C"/>
        </w:rPr>
        <w:t>é</w:t>
      </w:r>
      <w:r w:rsidRPr="005F7367">
        <w:rPr>
          <w:rFonts w:ascii="Century Gothic" w:hAnsi="Century Gothic" w:cs="FSLola-Bold"/>
          <w:bCs/>
          <w:color w:val="1A181C"/>
        </w:rPr>
        <w:t>solutions</w:t>
      </w:r>
      <w:r>
        <w:rPr>
          <w:rFonts w:ascii="Century Gothic" w:hAnsi="Century Gothic" w:cs="FSLola-Bold"/>
          <w:bCs/>
          <w:color w:val="1A181C"/>
        </w:rPr>
        <w:t> :</w:t>
      </w:r>
    </w:p>
    <w:p w:rsidR="005F7367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</w:rPr>
      </w:pPr>
    </w:p>
    <w:p w:rsidR="007102DE" w:rsidRPr="00EC4AE6" w:rsidRDefault="005F7367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  <w:sz w:val="16"/>
          <w:szCs w:val="16"/>
        </w:rPr>
      </w:pPr>
      <w:r w:rsidRPr="00EC4AE6">
        <w:rPr>
          <w:rFonts w:ascii="Century Gothic" w:hAnsi="Century Gothic" w:cs="FSLola-Bold"/>
          <w:b/>
          <w:bCs/>
          <w:color w:val="1A181C"/>
        </w:rPr>
        <w:t xml:space="preserve">Vote des résolutions de l’Assemblée Générale Ordinaire </w:t>
      </w:r>
      <w:r w:rsidR="00D7666D">
        <w:rPr>
          <w:rFonts w:ascii="Century Gothic" w:hAnsi="Century Gothic" w:cs="FSLola-Bold"/>
          <w:bCs/>
          <w:color w:val="1A181C"/>
          <w:sz w:val="16"/>
          <w:szCs w:val="16"/>
        </w:rPr>
        <w:t>« </w:t>
      </w:r>
      <w:r w:rsidR="00EC4AE6" w:rsidRPr="00EC4AE6">
        <w:rPr>
          <w:rFonts w:ascii="Century Gothic" w:hAnsi="Century Gothic" w:cs="FSLola-Bold"/>
          <w:bCs/>
          <w:color w:val="1A181C"/>
          <w:sz w:val="16"/>
          <w:szCs w:val="16"/>
        </w:rPr>
        <w:t>merci de choisir la case a</w:t>
      </w:r>
      <w:r w:rsidR="00D7666D">
        <w:rPr>
          <w:rFonts w:ascii="Century Gothic" w:hAnsi="Century Gothic" w:cs="FSLola-Bold"/>
          <w:bCs/>
          <w:color w:val="1A181C"/>
          <w:sz w:val="16"/>
          <w:szCs w:val="16"/>
        </w:rPr>
        <w:t>ppropriée en la cochant par (x) »</w:t>
      </w:r>
    </w:p>
    <w:p w:rsidR="005F7367" w:rsidRPr="00EC4AE6" w:rsidRDefault="005F7367" w:rsidP="007102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697"/>
        <w:gridCol w:w="938"/>
        <w:gridCol w:w="1352"/>
      </w:tblGrid>
      <w:tr w:rsidR="005F7367" w:rsidRPr="00EC4AE6" w:rsidTr="00B11EF5">
        <w:tc>
          <w:tcPr>
            <w:tcW w:w="4531" w:type="dxa"/>
          </w:tcPr>
          <w:p w:rsidR="005F7367" w:rsidRPr="00EC4AE6" w:rsidRDefault="005F7367" w:rsidP="005F73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EC4AE6">
              <w:rPr>
                <w:rFonts w:ascii="Century Gothic" w:hAnsi="Century Gothic" w:cs="Arial"/>
                <w:b/>
                <w:color w:val="000000"/>
              </w:rPr>
              <w:t>Résolution</w:t>
            </w:r>
          </w:p>
        </w:tc>
        <w:tc>
          <w:tcPr>
            <w:tcW w:w="697" w:type="dxa"/>
          </w:tcPr>
          <w:p w:rsidR="005F7367" w:rsidRPr="00EC4AE6" w:rsidRDefault="005F7367" w:rsidP="005F73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EC4AE6">
              <w:rPr>
                <w:rFonts w:ascii="Century Gothic" w:hAnsi="Century Gothic" w:cs="Arial"/>
                <w:b/>
                <w:color w:val="000000"/>
              </w:rPr>
              <w:t>Pour</w:t>
            </w:r>
          </w:p>
        </w:tc>
        <w:tc>
          <w:tcPr>
            <w:tcW w:w="938" w:type="dxa"/>
          </w:tcPr>
          <w:p w:rsidR="005F7367" w:rsidRPr="00EC4AE6" w:rsidRDefault="005F7367" w:rsidP="005F73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EC4AE6">
              <w:rPr>
                <w:rFonts w:ascii="Century Gothic" w:hAnsi="Century Gothic" w:cs="Arial"/>
                <w:b/>
                <w:color w:val="000000"/>
              </w:rPr>
              <w:t>Contre</w:t>
            </w:r>
          </w:p>
        </w:tc>
        <w:tc>
          <w:tcPr>
            <w:tcW w:w="1352" w:type="dxa"/>
          </w:tcPr>
          <w:p w:rsidR="005F7367" w:rsidRPr="00EC4AE6" w:rsidRDefault="005F7367" w:rsidP="005F73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EC4AE6">
              <w:rPr>
                <w:rFonts w:ascii="Century Gothic" w:hAnsi="Century Gothic" w:cs="Arial"/>
                <w:b/>
                <w:color w:val="000000"/>
              </w:rPr>
              <w:t>Abstention</w:t>
            </w: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 xml:space="preserve">Première 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 xml:space="preserve">Deuxième 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 xml:space="preserve">Troisième 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>Quatrième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>Cinquième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EC4AE6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>S</w:t>
            </w:r>
            <w:r w:rsidR="005F7367" w:rsidRPr="00EC4AE6">
              <w:rPr>
                <w:rFonts w:ascii="Century Gothic" w:hAnsi="Century Gothic" w:cs="Arial"/>
                <w:color w:val="000000"/>
              </w:rPr>
              <w:t>ixième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EC4AE6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>S</w:t>
            </w:r>
            <w:r w:rsidR="005F7367" w:rsidRPr="00EC4AE6">
              <w:rPr>
                <w:rFonts w:ascii="Century Gothic" w:hAnsi="Century Gothic" w:cs="Arial"/>
                <w:color w:val="000000"/>
              </w:rPr>
              <w:t>eptième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EC4AE6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>H</w:t>
            </w:r>
            <w:r w:rsidR="005F7367" w:rsidRPr="00EC4AE6">
              <w:rPr>
                <w:rFonts w:ascii="Century Gothic" w:hAnsi="Century Gothic" w:cs="Arial"/>
                <w:color w:val="000000"/>
              </w:rPr>
              <w:t>uitième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  <w:tr w:rsidR="005F7367" w:rsidRPr="00EC4AE6" w:rsidTr="00B11EF5">
        <w:tc>
          <w:tcPr>
            <w:tcW w:w="4531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EC4AE6">
              <w:rPr>
                <w:rFonts w:ascii="Century Gothic" w:hAnsi="Century Gothic" w:cs="Arial"/>
                <w:color w:val="000000"/>
              </w:rPr>
              <w:t xml:space="preserve">Neuvième </w:t>
            </w:r>
          </w:p>
        </w:tc>
        <w:tc>
          <w:tcPr>
            <w:tcW w:w="697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938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  <w:tc>
          <w:tcPr>
            <w:tcW w:w="1352" w:type="dxa"/>
          </w:tcPr>
          <w:p w:rsidR="005F7367" w:rsidRPr="00EC4AE6" w:rsidRDefault="005F7367" w:rsidP="007102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color w:val="000000"/>
              </w:rPr>
            </w:pPr>
          </w:p>
        </w:tc>
      </w:tr>
    </w:tbl>
    <w:p w:rsidR="005F7367" w:rsidRPr="00EC4AE6" w:rsidRDefault="005F7367" w:rsidP="007102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</w:p>
    <w:p w:rsidR="00073DD4" w:rsidRDefault="00EC4AE6" w:rsidP="00073DD4">
      <w:pPr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Rappel de</w:t>
      </w:r>
      <w:r w:rsidR="00073DD4">
        <w:rPr>
          <w:rFonts w:ascii="Century Gothic" w:hAnsi="Century Gothic" w:cs="Arial"/>
          <w:b/>
          <w:color w:val="000000"/>
          <w:sz w:val="24"/>
          <w:szCs w:val="24"/>
        </w:rPr>
        <w:t xml:space="preserve">s dispositions de </w:t>
      </w:r>
      <w:r>
        <w:rPr>
          <w:rFonts w:ascii="Century Gothic" w:hAnsi="Century Gothic" w:cs="Arial"/>
          <w:b/>
          <w:color w:val="000000"/>
          <w:sz w:val="24"/>
          <w:szCs w:val="24"/>
        </w:rPr>
        <w:t>l’article</w:t>
      </w:r>
      <w:r w:rsidR="00073DD4">
        <w:rPr>
          <w:rFonts w:ascii="Century Gothic" w:hAnsi="Century Gothic" w:cs="Arial"/>
          <w:b/>
          <w:color w:val="000000"/>
          <w:sz w:val="24"/>
          <w:szCs w:val="24"/>
        </w:rPr>
        <w:t xml:space="preserve"> 130 et </w:t>
      </w:r>
      <w:r>
        <w:rPr>
          <w:rFonts w:ascii="Century Gothic" w:hAnsi="Century Gothic" w:cs="Arial"/>
          <w:b/>
          <w:color w:val="000000"/>
          <w:sz w:val="24"/>
          <w:szCs w:val="24"/>
        </w:rPr>
        <w:t>13</w:t>
      </w:r>
      <w:r w:rsidR="00073DD4">
        <w:rPr>
          <w:rFonts w:ascii="Century Gothic" w:hAnsi="Century Gothic" w:cs="Arial"/>
          <w:b/>
          <w:color w:val="000000"/>
          <w:sz w:val="24"/>
          <w:szCs w:val="24"/>
        </w:rPr>
        <w:t>1 bis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 de la loi 17-95 : </w:t>
      </w:r>
    </w:p>
    <w:p w:rsidR="00CC27D0" w:rsidRPr="00CC27D0" w:rsidRDefault="00EC4AE6" w:rsidP="00073DD4">
      <w:p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CC27D0">
        <w:rPr>
          <w:rFonts w:ascii="Century Gothic" w:hAnsi="Century Gothic" w:cs="FSLola-Bold"/>
          <w:bCs/>
          <w:color w:val="1A181C"/>
        </w:rPr>
        <w:t>Les votes par correspondance ne sont pris en compte que si le formulaire parvient à la Société des Brasseries du Maroc deux jours au moins avant la date de la réunion de l’Assemblée Générale et ce à l’adresse suivante</w:t>
      </w:r>
      <w:r w:rsidRPr="00CC27D0">
        <w:rPr>
          <w:rFonts w:ascii="Century Gothic" w:hAnsi="Century Gothic" w:cs="Arial"/>
          <w:b/>
          <w:color w:val="000000"/>
        </w:rPr>
        <w:t> : « </w:t>
      </w:r>
      <w:r w:rsidR="00D7666D" w:rsidRPr="00CC27D0">
        <w:rPr>
          <w:rFonts w:ascii="Century Gothic" w:hAnsi="Century Gothic" w:cs="Arial"/>
          <w:color w:val="000000"/>
        </w:rPr>
        <w:t>Mme Saida BELKENTAOUI</w:t>
      </w:r>
      <w:r w:rsidR="00CC27D0" w:rsidRPr="00CC27D0">
        <w:rPr>
          <w:rFonts w:ascii="Century Gothic" w:hAnsi="Century Gothic" w:cs="Arial"/>
          <w:color w:val="000000"/>
        </w:rPr>
        <w:t xml:space="preserve">, Siège Société des Brasseries du Maroc, sis à Boulevard </w:t>
      </w:r>
      <w:proofErr w:type="spellStart"/>
      <w:r w:rsidR="00CC27D0" w:rsidRPr="00CC27D0">
        <w:rPr>
          <w:rFonts w:ascii="Century Gothic" w:hAnsi="Century Gothic" w:cs="Arial"/>
          <w:color w:val="000000"/>
        </w:rPr>
        <w:t>Ahl</w:t>
      </w:r>
      <w:proofErr w:type="spellEnd"/>
      <w:r w:rsidR="00CC27D0" w:rsidRPr="00CC27D0">
        <w:rPr>
          <w:rFonts w:ascii="Century Gothic" w:hAnsi="Century Gothic" w:cs="Arial"/>
          <w:color w:val="000000"/>
        </w:rPr>
        <w:t xml:space="preserve"> </w:t>
      </w:r>
      <w:proofErr w:type="spellStart"/>
      <w:r w:rsidR="00CC27D0" w:rsidRPr="00CC27D0">
        <w:rPr>
          <w:rFonts w:ascii="Century Gothic" w:hAnsi="Century Gothic" w:cs="Arial"/>
          <w:color w:val="000000"/>
        </w:rPr>
        <w:t>Loghlam</w:t>
      </w:r>
      <w:proofErr w:type="spellEnd"/>
      <w:r w:rsidR="00CC27D0" w:rsidRPr="00CC27D0">
        <w:rPr>
          <w:rFonts w:ascii="Century Gothic" w:hAnsi="Century Gothic" w:cs="Arial"/>
          <w:color w:val="000000"/>
        </w:rPr>
        <w:t xml:space="preserve"> Ain </w:t>
      </w:r>
      <w:proofErr w:type="spellStart"/>
      <w:r w:rsidR="00CC27D0" w:rsidRPr="00CC27D0">
        <w:rPr>
          <w:rFonts w:ascii="Century Gothic" w:hAnsi="Century Gothic" w:cs="Arial"/>
          <w:color w:val="000000"/>
        </w:rPr>
        <w:t>Sebaa</w:t>
      </w:r>
      <w:proofErr w:type="spellEnd"/>
      <w:r w:rsidR="00CC27D0" w:rsidRPr="00CC27D0">
        <w:rPr>
          <w:rFonts w:ascii="Century Gothic" w:hAnsi="Century Gothic" w:cs="Arial"/>
          <w:color w:val="000000"/>
        </w:rPr>
        <w:t xml:space="preserve"> Angle avenue Casablanca, E-mail : </w:t>
      </w:r>
      <w:r w:rsidR="00C46D7F" w:rsidRPr="00C46D7F">
        <w:rPr>
          <w:rFonts w:ascii="Century Gothic" w:hAnsi="Century Gothic" w:cs="Arial"/>
          <w:color w:val="000000"/>
        </w:rPr>
        <w:t>Saida.Belkentaoui@gbm-ma.com</w:t>
      </w:r>
      <w:r w:rsidR="00CC27D0" w:rsidRPr="00CC27D0">
        <w:rPr>
          <w:rFonts w:ascii="Century Gothic" w:hAnsi="Century Gothic" w:cs="Arial"/>
          <w:color w:val="000000"/>
        </w:rPr>
        <w:t>»</w:t>
      </w:r>
    </w:p>
    <w:p w:rsidR="00073DD4" w:rsidRDefault="00073DD4" w:rsidP="00DE11BB">
      <w:pPr>
        <w:ind w:left="360"/>
        <w:jc w:val="right"/>
        <w:rPr>
          <w:rFonts w:ascii="Century Gothic" w:hAnsi="Century Gothic" w:cs="Arial"/>
          <w:color w:val="000000"/>
          <w:sz w:val="24"/>
          <w:szCs w:val="24"/>
        </w:rPr>
      </w:pPr>
    </w:p>
    <w:p w:rsidR="00702C1B" w:rsidRPr="00DE11BB" w:rsidRDefault="00DE11BB" w:rsidP="00DE11BB">
      <w:pPr>
        <w:ind w:left="360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 xml:space="preserve">Fait à </w:t>
      </w:r>
      <w:proofErr w:type="gramStart"/>
      <w:r w:rsidRPr="00DE11BB">
        <w:rPr>
          <w:rFonts w:ascii="Century Gothic" w:hAnsi="Century Gothic" w:cs="Arial"/>
          <w:color w:val="000000"/>
          <w:sz w:val="24"/>
          <w:szCs w:val="24"/>
        </w:rPr>
        <w:t>…………………………..……..,</w:t>
      </w:r>
      <w:proofErr w:type="gramEnd"/>
      <w:r w:rsidRPr="00DE11BB">
        <w:rPr>
          <w:rFonts w:ascii="Century Gothic" w:hAnsi="Century Gothic" w:cs="Arial"/>
          <w:color w:val="000000"/>
          <w:sz w:val="24"/>
          <w:szCs w:val="24"/>
        </w:rPr>
        <w:t xml:space="preserve"> le ………………………………………..</w:t>
      </w:r>
    </w:p>
    <w:p w:rsidR="00DE11BB" w:rsidRDefault="00DE11BB" w:rsidP="00702C1B">
      <w:pPr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DE11BB" w:rsidRDefault="00DE11BB" w:rsidP="00DE11BB">
      <w:pPr>
        <w:ind w:left="360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     </w:t>
      </w:r>
    </w:p>
    <w:p w:rsidR="00DE11BB" w:rsidRDefault="00DE11BB" w:rsidP="00DE11BB">
      <w:pPr>
        <w:ind w:left="36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DE11BB" w:rsidRDefault="00DE11BB" w:rsidP="00DE11BB">
      <w:pPr>
        <w:ind w:left="360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                 Signature </w:t>
      </w:r>
    </w:p>
    <w:p w:rsidR="00DE11BB" w:rsidRDefault="00DE11BB" w:rsidP="00DE11BB">
      <w:pPr>
        <w:ind w:left="360"/>
        <w:jc w:val="right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(Précédée de la mention « Bon pour Pouvoirs »)</w:t>
      </w:r>
    </w:p>
    <w:p w:rsidR="00026488" w:rsidRDefault="00026488" w:rsidP="00DE11BB">
      <w:pPr>
        <w:ind w:left="360"/>
        <w:jc w:val="right"/>
        <w:rPr>
          <w:rFonts w:ascii="Century Gothic" w:hAnsi="Century Gothic" w:cs="Arial"/>
          <w:color w:val="000000"/>
          <w:sz w:val="20"/>
          <w:szCs w:val="20"/>
        </w:rPr>
      </w:pPr>
    </w:p>
    <w:p w:rsidR="00026488" w:rsidRPr="00026488" w:rsidRDefault="00026488" w:rsidP="00026488">
      <w:pPr>
        <w:ind w:left="360"/>
        <w:rPr>
          <w:rFonts w:ascii="Century Gothic" w:hAnsi="Century Gothic" w:cs="FSLola-Bold"/>
          <w:bCs/>
          <w:color w:val="1A181C"/>
          <w:sz w:val="16"/>
          <w:szCs w:val="16"/>
        </w:rPr>
      </w:pPr>
      <w:bookmarkStart w:id="0" w:name="_GoBack"/>
      <w:bookmarkEnd w:id="0"/>
      <w:r w:rsidRPr="00026488">
        <w:rPr>
          <w:rFonts w:ascii="Century Gothic" w:hAnsi="Century Gothic" w:cs="FSLola-Bold"/>
          <w:bCs/>
          <w:color w:val="1A181C"/>
          <w:sz w:val="16"/>
          <w:szCs w:val="16"/>
        </w:rPr>
        <w:t>NB : Le</w:t>
      </w:r>
      <w:r>
        <w:rPr>
          <w:rFonts w:ascii="Century Gothic" w:hAnsi="Century Gothic" w:cs="FSLola-Bold"/>
          <w:bCs/>
          <w:color w:val="1A181C"/>
          <w:sz w:val="16"/>
          <w:szCs w:val="16"/>
        </w:rPr>
        <w:t>s</w:t>
      </w:r>
      <w:r w:rsidRPr="00026488">
        <w:rPr>
          <w:rFonts w:ascii="Century Gothic" w:hAnsi="Century Gothic" w:cs="FSLola-Bold"/>
          <w:bCs/>
          <w:color w:val="1A181C"/>
          <w:sz w:val="16"/>
          <w:szCs w:val="16"/>
        </w:rPr>
        <w:t xml:space="preserve"> vote</w:t>
      </w:r>
      <w:r>
        <w:rPr>
          <w:rFonts w:ascii="Century Gothic" w:hAnsi="Century Gothic" w:cs="FSLola-Bold"/>
          <w:bCs/>
          <w:color w:val="1A181C"/>
          <w:sz w:val="16"/>
          <w:szCs w:val="16"/>
        </w:rPr>
        <w:t>s</w:t>
      </w:r>
      <w:r w:rsidRPr="00026488">
        <w:rPr>
          <w:rFonts w:ascii="Century Gothic" w:hAnsi="Century Gothic" w:cs="FSLola-Bold"/>
          <w:bCs/>
          <w:color w:val="1A181C"/>
          <w:sz w:val="16"/>
          <w:szCs w:val="16"/>
        </w:rPr>
        <w:t xml:space="preserve"> par correspondance </w:t>
      </w:r>
      <w:r>
        <w:rPr>
          <w:rFonts w:ascii="Century Gothic" w:hAnsi="Century Gothic" w:cs="FSLola-Bold"/>
          <w:bCs/>
          <w:color w:val="1A181C"/>
          <w:sz w:val="16"/>
          <w:szCs w:val="16"/>
        </w:rPr>
        <w:t xml:space="preserve">sont soumis aux </w:t>
      </w:r>
      <w:r w:rsidRPr="00026488">
        <w:rPr>
          <w:rFonts w:ascii="Century Gothic" w:hAnsi="Century Gothic" w:cs="FSLola-Bold"/>
          <w:bCs/>
          <w:color w:val="1A181C"/>
          <w:sz w:val="16"/>
          <w:szCs w:val="16"/>
        </w:rPr>
        <w:t>dispositions de la loi 17-95 relative aux sociétés anonymes et</w:t>
      </w:r>
      <w:r>
        <w:rPr>
          <w:rFonts w:ascii="Century Gothic" w:hAnsi="Century Gothic" w:cs="FSLola-Bold"/>
          <w:bCs/>
          <w:color w:val="1A181C"/>
          <w:sz w:val="16"/>
          <w:szCs w:val="16"/>
        </w:rPr>
        <w:t xml:space="preserve"> au </w:t>
      </w:r>
      <w:r w:rsidRPr="00026488">
        <w:rPr>
          <w:rFonts w:ascii="Century Gothic" w:hAnsi="Century Gothic" w:cs="FSLola-Bold"/>
          <w:bCs/>
          <w:color w:val="1A181C"/>
          <w:sz w:val="16"/>
          <w:szCs w:val="16"/>
        </w:rPr>
        <w:t xml:space="preserve">décret n° 2-09-481 pris pour l’application de la loi 17-95. </w:t>
      </w:r>
    </w:p>
    <w:p w:rsidR="00CC27D0" w:rsidRPr="00073DD4" w:rsidRDefault="00CC27D0" w:rsidP="00073DD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73DD4">
        <w:rPr>
          <w:rFonts w:ascii="Century Gothic" w:hAnsi="Century Gothic"/>
          <w:b/>
          <w:sz w:val="28"/>
          <w:szCs w:val="28"/>
          <w:u w:val="single"/>
        </w:rPr>
        <w:lastRenderedPageBreak/>
        <w:t>ANNEXE</w:t>
      </w:r>
    </w:p>
    <w:p w:rsidR="00CC27D0" w:rsidRPr="009F46C6" w:rsidRDefault="00CC27D0" w:rsidP="00CC27D0">
      <w:pPr>
        <w:keepNext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10"/>
          <w:szCs w:val="10"/>
          <w:u w:val="single"/>
        </w:rPr>
      </w:pPr>
    </w:p>
    <w:p w:rsidR="00CC27D0" w:rsidRPr="002159D0" w:rsidRDefault="00CC27D0" w:rsidP="00CC27D0">
      <w:pPr>
        <w:keepNext/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8"/>
          <w:szCs w:val="28"/>
          <w:u w:val="single"/>
        </w:rPr>
      </w:pPr>
      <w:r>
        <w:rPr>
          <w:rFonts w:ascii="Century Gothic" w:hAnsi="Century Gothic"/>
          <w:b/>
          <w:bCs/>
          <w:iCs/>
          <w:sz w:val="28"/>
          <w:szCs w:val="28"/>
          <w:u w:val="single"/>
        </w:rPr>
        <w:t>PROJET DE RESOLUTIONS</w:t>
      </w:r>
      <w:r w:rsidRPr="002159D0">
        <w:rPr>
          <w:rFonts w:ascii="Century Gothic" w:hAnsi="Century Gothic"/>
          <w:b/>
          <w:bCs/>
          <w:iCs/>
          <w:sz w:val="28"/>
          <w:szCs w:val="28"/>
          <w:u w:val="single"/>
        </w:rPr>
        <w:t xml:space="preserve"> </w:t>
      </w: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Première Résolution</w:t>
      </w:r>
      <w:r w:rsidRPr="00F43F2A">
        <w:rPr>
          <w:rFonts w:ascii="Century Gothic" w:hAnsi="Century Gothic"/>
          <w:b/>
          <w:bCs/>
          <w:szCs w:val="28"/>
        </w:rPr>
        <w:t> </w:t>
      </w:r>
    </w:p>
    <w:p w:rsidR="00CC27D0" w:rsidRPr="005D5EBE" w:rsidRDefault="00CC27D0" w:rsidP="00CC2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Rapport de Gestion - Exercice 2017</w:t>
      </w:r>
    </w:p>
    <w:p w:rsidR="00CC27D0" w:rsidRPr="005D5EBE" w:rsidRDefault="00CC27D0" w:rsidP="00CC27D0">
      <w:pPr>
        <w:jc w:val="center"/>
        <w:rPr>
          <w:rFonts w:ascii="Century Gothic" w:hAnsi="Century Gothic"/>
          <w:bCs/>
          <w:u w:val="single"/>
        </w:rPr>
      </w:pPr>
    </w:p>
    <w:p w:rsidR="00CC27D0" w:rsidRPr="0044544A" w:rsidRDefault="00CC27D0" w:rsidP="00CC27D0">
      <w:pPr>
        <w:ind w:right="-2"/>
        <w:jc w:val="both"/>
        <w:rPr>
          <w:rFonts w:ascii="Century Gothic" w:hAnsi="Century Gothic"/>
          <w:sz w:val="23"/>
        </w:rPr>
      </w:pPr>
      <w:r w:rsidRPr="0044544A">
        <w:rPr>
          <w:rFonts w:ascii="Century Gothic" w:hAnsi="Century Gothic"/>
          <w:sz w:val="23"/>
        </w:rPr>
        <w:t>L'Assemblée Générale</w:t>
      </w:r>
      <w:r>
        <w:rPr>
          <w:rFonts w:ascii="Century Gothic" w:hAnsi="Century Gothic"/>
          <w:sz w:val="23"/>
        </w:rPr>
        <w:t xml:space="preserve"> statuant dans les conditions de quorum et de majorité pris pour les réunions ordinaires</w:t>
      </w:r>
      <w:r w:rsidRPr="0044544A">
        <w:rPr>
          <w:rFonts w:ascii="Century Gothic" w:hAnsi="Century Gothic"/>
          <w:sz w:val="23"/>
        </w:rPr>
        <w:t>, après avoir entendu la lecture des rapports du Conseil</w:t>
      </w:r>
      <w:r w:rsidRPr="0044544A">
        <w:rPr>
          <w:rFonts w:ascii="Century Gothic" w:hAnsi="Century Gothic"/>
          <w:b/>
          <w:sz w:val="23"/>
        </w:rPr>
        <w:t xml:space="preserve"> </w:t>
      </w:r>
      <w:r w:rsidRPr="0044544A">
        <w:rPr>
          <w:rFonts w:ascii="Century Gothic" w:hAnsi="Century Gothic"/>
          <w:sz w:val="23"/>
        </w:rPr>
        <w:t>d’Administration et des Commissaires aux Comptes, approuve les comptes et les états de synthèse de l'exercice clos le 31 Décembre 201</w:t>
      </w:r>
      <w:r>
        <w:rPr>
          <w:rFonts w:ascii="Century Gothic" w:hAnsi="Century Gothic"/>
          <w:sz w:val="23"/>
        </w:rPr>
        <w:t>7</w:t>
      </w:r>
      <w:r w:rsidRPr="0044544A">
        <w:rPr>
          <w:rFonts w:ascii="Century Gothic" w:hAnsi="Century Gothic"/>
          <w:sz w:val="23"/>
        </w:rPr>
        <w:t>.</w:t>
      </w:r>
    </w:p>
    <w:p w:rsidR="00CC27D0" w:rsidRPr="0044544A" w:rsidRDefault="00CC27D0" w:rsidP="00CC27D0">
      <w:pPr>
        <w:rPr>
          <w:rFonts w:ascii="Century Gothic" w:hAnsi="Century Gothic"/>
          <w:sz w:val="23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CC27D0" w:rsidRPr="0044544A" w:rsidTr="003022CD">
        <w:trPr>
          <w:trHeight w:val="878"/>
        </w:trPr>
        <w:tc>
          <w:tcPr>
            <w:tcW w:w="7270" w:type="dxa"/>
          </w:tcPr>
          <w:p w:rsidR="00CC27D0" w:rsidRPr="0044544A" w:rsidRDefault="00CC27D0" w:rsidP="003022CD">
            <w:pPr>
              <w:ind w:right="-2"/>
              <w:jc w:val="both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 xml:space="preserve">Elle décide de </w:t>
            </w:r>
            <w:r>
              <w:rPr>
                <w:rFonts w:ascii="Century Gothic" w:hAnsi="Century Gothic"/>
                <w:sz w:val="23"/>
              </w:rPr>
              <w:t>répartir le bénéfice net</w:t>
            </w:r>
            <w:r w:rsidRPr="0044544A">
              <w:rPr>
                <w:rFonts w:ascii="Century Gothic" w:hAnsi="Century Gothic"/>
                <w:sz w:val="23"/>
              </w:rPr>
              <w:t xml:space="preserve"> de l’exercice 201</w:t>
            </w:r>
            <w:r>
              <w:rPr>
                <w:rFonts w:ascii="Century Gothic" w:hAnsi="Century Gothic"/>
                <w:sz w:val="23"/>
              </w:rPr>
              <w:t xml:space="preserve">7 </w:t>
            </w:r>
            <w:proofErr w:type="gramStart"/>
            <w:r>
              <w:rPr>
                <w:rFonts w:ascii="Century Gothic" w:hAnsi="Century Gothic"/>
                <w:sz w:val="23"/>
              </w:rPr>
              <w:t>……..</w:t>
            </w:r>
            <w:proofErr w:type="gramEnd"/>
          </w:p>
          <w:p w:rsidR="00CC27D0" w:rsidRPr="0044544A" w:rsidRDefault="00CC27D0" w:rsidP="003022CD">
            <w:pPr>
              <w:ind w:right="-2"/>
              <w:jc w:val="both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>de la façon suivante :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 xml:space="preserve">382 676 577,58 </w:t>
            </w:r>
            <w:r w:rsidRPr="0044544A">
              <w:rPr>
                <w:rFonts w:ascii="Century Gothic" w:hAnsi="Century Gothic"/>
                <w:sz w:val="23"/>
              </w:rPr>
              <w:t>DH</w:t>
            </w:r>
          </w:p>
        </w:tc>
      </w:tr>
      <w:tr w:rsidR="00CC27D0" w:rsidRPr="0044544A" w:rsidTr="003022CD">
        <w:trPr>
          <w:trHeight w:val="537"/>
        </w:trPr>
        <w:tc>
          <w:tcPr>
            <w:tcW w:w="7270" w:type="dxa"/>
          </w:tcPr>
          <w:p w:rsidR="00CC27D0" w:rsidRPr="0044544A" w:rsidRDefault="00CC27D0" w:rsidP="00CC27D0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 xml:space="preserve">Réserve légale (au plafond) </w:t>
            </w:r>
            <w:r>
              <w:rPr>
                <w:rFonts w:ascii="Century Gothic" w:hAnsi="Century Gothic"/>
                <w:sz w:val="23"/>
              </w:rPr>
              <w:t>………………………………………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center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 xml:space="preserve">- </w:t>
            </w:r>
          </w:p>
        </w:tc>
      </w:tr>
      <w:tr w:rsidR="00CC27D0" w:rsidRPr="0044544A" w:rsidTr="003022CD">
        <w:trPr>
          <w:trHeight w:val="539"/>
        </w:trPr>
        <w:tc>
          <w:tcPr>
            <w:tcW w:w="7270" w:type="dxa"/>
          </w:tcPr>
          <w:p w:rsidR="00CC27D0" w:rsidRPr="0044544A" w:rsidRDefault="00CC27D0" w:rsidP="00CC27D0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Century Gothic" w:hAnsi="Century Gothic"/>
                <w:sz w:val="23"/>
                <w:lang w:val="en-US"/>
              </w:rPr>
            </w:pPr>
            <w:r w:rsidRPr="00CB4F0C">
              <w:rPr>
                <w:rFonts w:ascii="Century Gothic" w:hAnsi="Century Gothic"/>
                <w:sz w:val="23"/>
              </w:rPr>
              <w:t>Reserve facultative...........</w:t>
            </w:r>
            <w:r w:rsidRPr="0044544A">
              <w:rPr>
                <w:rFonts w:ascii="Century Gothic" w:hAnsi="Century Gothic"/>
                <w:sz w:val="23"/>
                <w:lang w:val="en-US"/>
              </w:rPr>
              <w:t>.......................................</w:t>
            </w:r>
            <w:r>
              <w:rPr>
                <w:rFonts w:ascii="Century Gothic" w:hAnsi="Century Gothic"/>
                <w:sz w:val="23"/>
                <w:lang w:val="en-US"/>
              </w:rPr>
              <w:t>......................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center"/>
              <w:rPr>
                <w:rFonts w:ascii="Century Gothic" w:hAnsi="Century Gothic"/>
                <w:sz w:val="23"/>
                <w:lang w:val="en-US"/>
              </w:rPr>
            </w:pPr>
            <w:r w:rsidRPr="0044544A">
              <w:rPr>
                <w:rFonts w:ascii="Century Gothic" w:hAnsi="Century Gothic"/>
                <w:sz w:val="23"/>
                <w:lang w:val="en-US"/>
              </w:rPr>
              <w:t xml:space="preserve">- </w:t>
            </w:r>
          </w:p>
        </w:tc>
      </w:tr>
      <w:tr w:rsidR="00CC27D0" w:rsidRPr="0044544A" w:rsidTr="003022CD">
        <w:trPr>
          <w:trHeight w:val="533"/>
        </w:trPr>
        <w:tc>
          <w:tcPr>
            <w:tcW w:w="727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  <w:lang w:val="de-DE"/>
              </w:rPr>
            </w:pPr>
            <w:r w:rsidRPr="0044544A">
              <w:rPr>
                <w:rFonts w:ascii="Century Gothic" w:hAnsi="Century Gothic"/>
                <w:sz w:val="23"/>
                <w:lang w:val="en-US"/>
              </w:rPr>
              <w:t>SOLDE......</w:t>
            </w:r>
            <w:r>
              <w:rPr>
                <w:rFonts w:ascii="Century Gothic" w:hAnsi="Century Gothic"/>
                <w:sz w:val="23"/>
                <w:lang w:val="en-US"/>
              </w:rPr>
              <w:t>...............................</w:t>
            </w:r>
            <w:r w:rsidRPr="0044544A">
              <w:rPr>
                <w:rFonts w:ascii="Century Gothic" w:hAnsi="Century Gothic"/>
                <w:sz w:val="23"/>
                <w:lang w:val="en-US"/>
              </w:rPr>
              <w:t>.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 xml:space="preserve">382 676 577,58 </w:t>
            </w:r>
            <w:r w:rsidRPr="0044544A">
              <w:rPr>
                <w:rFonts w:ascii="Century Gothic" w:hAnsi="Century Gothic"/>
                <w:sz w:val="23"/>
              </w:rPr>
              <w:t>DH</w:t>
            </w:r>
          </w:p>
        </w:tc>
      </w:tr>
      <w:tr w:rsidR="00CC27D0" w:rsidRPr="0044544A" w:rsidTr="003022CD">
        <w:trPr>
          <w:trHeight w:val="527"/>
        </w:trPr>
        <w:tc>
          <w:tcPr>
            <w:tcW w:w="7270" w:type="dxa"/>
          </w:tcPr>
          <w:p w:rsidR="00CC27D0" w:rsidRPr="0044544A" w:rsidRDefault="00CC27D0" w:rsidP="003022CD">
            <w:pPr>
              <w:ind w:right="-2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>qui, avec le report à nouveau 201</w:t>
            </w:r>
            <w:r>
              <w:rPr>
                <w:rFonts w:ascii="Century Gothic" w:hAnsi="Century Gothic"/>
                <w:sz w:val="23"/>
              </w:rPr>
              <w:t>6</w:t>
            </w:r>
            <w:r w:rsidRPr="0044544A">
              <w:rPr>
                <w:rFonts w:ascii="Century Gothic" w:hAnsi="Century Gothic"/>
                <w:sz w:val="23"/>
              </w:rPr>
              <w:t xml:space="preserve"> ..........................</w:t>
            </w:r>
            <w:r>
              <w:rPr>
                <w:rFonts w:ascii="Century Gothic" w:hAnsi="Century Gothic"/>
                <w:sz w:val="23"/>
              </w:rPr>
              <w:t>......................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 xml:space="preserve">11 718 971,31 </w:t>
            </w:r>
            <w:r w:rsidRPr="0044544A">
              <w:rPr>
                <w:rFonts w:ascii="Century Gothic" w:hAnsi="Century Gothic"/>
                <w:sz w:val="23"/>
              </w:rPr>
              <w:t>DH</w:t>
            </w:r>
          </w:p>
        </w:tc>
      </w:tr>
      <w:tr w:rsidR="00CC27D0" w:rsidRPr="0044544A" w:rsidTr="003022CD">
        <w:trPr>
          <w:trHeight w:val="535"/>
        </w:trPr>
        <w:tc>
          <w:tcPr>
            <w:tcW w:w="727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>DONNE UN SOLDE DE ..........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 xml:space="preserve">394 395 548,89 </w:t>
            </w:r>
            <w:r w:rsidRPr="0044544A">
              <w:rPr>
                <w:rFonts w:ascii="Century Gothic" w:hAnsi="Century Gothic"/>
                <w:sz w:val="23"/>
              </w:rPr>
              <w:t>DH</w:t>
            </w:r>
          </w:p>
        </w:tc>
      </w:tr>
      <w:tr w:rsidR="00CC27D0" w:rsidRPr="0044544A" w:rsidTr="003022CD">
        <w:trPr>
          <w:trHeight w:val="695"/>
        </w:trPr>
        <w:tc>
          <w:tcPr>
            <w:tcW w:w="7270" w:type="dxa"/>
          </w:tcPr>
          <w:p w:rsidR="00CC27D0" w:rsidRPr="0044544A" w:rsidRDefault="00CC27D0" w:rsidP="00CC27D0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>Dividende au titre de l’exercice 201</w:t>
            </w:r>
            <w:r>
              <w:rPr>
                <w:rFonts w:ascii="Century Gothic" w:hAnsi="Century Gothic"/>
                <w:sz w:val="23"/>
              </w:rPr>
              <w:t>7 ……………………………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 xml:space="preserve"> </w:t>
            </w:r>
            <w:r>
              <w:rPr>
                <w:rFonts w:ascii="Century Gothic" w:hAnsi="Century Gothic"/>
                <w:sz w:val="23"/>
              </w:rPr>
              <w:t xml:space="preserve">382 003 155,00 </w:t>
            </w:r>
            <w:r w:rsidRPr="0044544A">
              <w:rPr>
                <w:rFonts w:ascii="Century Gothic" w:hAnsi="Century Gothic"/>
                <w:sz w:val="23"/>
              </w:rPr>
              <w:t>DH</w:t>
            </w:r>
          </w:p>
        </w:tc>
      </w:tr>
      <w:tr w:rsidR="00CC27D0" w:rsidRPr="0044544A" w:rsidTr="003022CD">
        <w:trPr>
          <w:trHeight w:val="534"/>
        </w:trPr>
        <w:tc>
          <w:tcPr>
            <w:tcW w:w="727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 w:rsidRPr="0044544A">
              <w:rPr>
                <w:rFonts w:ascii="Century Gothic" w:hAnsi="Century Gothic"/>
                <w:sz w:val="23"/>
              </w:rPr>
              <w:t>REPORT A NOUVEAU ……………………</w:t>
            </w:r>
          </w:p>
        </w:tc>
        <w:tc>
          <w:tcPr>
            <w:tcW w:w="2340" w:type="dxa"/>
          </w:tcPr>
          <w:p w:rsidR="00CC27D0" w:rsidRPr="0044544A" w:rsidRDefault="00CC27D0" w:rsidP="003022CD">
            <w:pPr>
              <w:ind w:right="-2"/>
              <w:jc w:val="right"/>
              <w:rPr>
                <w:rFonts w:ascii="Century Gothic" w:hAnsi="Century Gothic"/>
                <w:sz w:val="23"/>
              </w:rPr>
            </w:pPr>
            <w:r>
              <w:rPr>
                <w:rFonts w:ascii="Century Gothic" w:hAnsi="Century Gothic"/>
                <w:sz w:val="23"/>
              </w:rPr>
              <w:t xml:space="preserve">12 392 393,89 </w:t>
            </w:r>
            <w:r w:rsidRPr="0044544A">
              <w:rPr>
                <w:rFonts w:ascii="Century Gothic" w:hAnsi="Century Gothic"/>
                <w:sz w:val="23"/>
              </w:rPr>
              <w:t>DH</w:t>
            </w:r>
          </w:p>
        </w:tc>
      </w:tr>
    </w:tbl>
    <w:p w:rsidR="00CC27D0" w:rsidRPr="0044544A" w:rsidRDefault="00CC27D0" w:rsidP="00CC27D0">
      <w:pPr>
        <w:ind w:right="-2"/>
        <w:jc w:val="both"/>
        <w:rPr>
          <w:rFonts w:ascii="Century Gothic" w:hAnsi="Century Gothic"/>
          <w:sz w:val="23"/>
        </w:rPr>
      </w:pPr>
    </w:p>
    <w:p w:rsidR="00CC27D0" w:rsidRPr="0044544A" w:rsidRDefault="00CC27D0" w:rsidP="00CC27D0">
      <w:pPr>
        <w:ind w:right="-2"/>
        <w:jc w:val="both"/>
        <w:rPr>
          <w:rFonts w:ascii="Century Gothic" w:hAnsi="Century Gothic"/>
          <w:sz w:val="23"/>
        </w:rPr>
      </w:pPr>
      <w:r w:rsidRPr="0044544A">
        <w:rPr>
          <w:rFonts w:ascii="Century Gothic" w:hAnsi="Century Gothic"/>
          <w:sz w:val="23"/>
        </w:rPr>
        <w:t xml:space="preserve">L’Assemblée Générale décide de </w:t>
      </w:r>
      <w:r>
        <w:rPr>
          <w:rFonts w:ascii="Century Gothic" w:hAnsi="Century Gothic"/>
          <w:sz w:val="23"/>
        </w:rPr>
        <w:t>fixer le dividende à répartir à 135,00 DH (</w:t>
      </w:r>
      <w:proofErr w:type="gramStart"/>
      <w:r>
        <w:rPr>
          <w:rFonts w:ascii="Century Gothic" w:hAnsi="Century Gothic"/>
          <w:sz w:val="23"/>
        </w:rPr>
        <w:t>Cent  trente</w:t>
      </w:r>
      <w:proofErr w:type="gramEnd"/>
      <w:r>
        <w:rPr>
          <w:rFonts w:ascii="Century Gothic" w:hAnsi="Century Gothic"/>
          <w:sz w:val="23"/>
        </w:rPr>
        <w:t xml:space="preserve"> -cinq </w:t>
      </w:r>
      <w:r w:rsidRPr="0044544A">
        <w:rPr>
          <w:rFonts w:ascii="Century Gothic" w:hAnsi="Century Gothic"/>
          <w:sz w:val="23"/>
        </w:rPr>
        <w:t>DIRHAMS) par action.</w:t>
      </w:r>
    </w:p>
    <w:p w:rsidR="00CC27D0" w:rsidRPr="0044544A" w:rsidRDefault="00CC27D0" w:rsidP="00CC27D0">
      <w:pPr>
        <w:ind w:right="-2"/>
        <w:jc w:val="both"/>
        <w:outlineLvl w:val="0"/>
        <w:rPr>
          <w:rFonts w:ascii="Century Gothic" w:hAnsi="Century Gothic"/>
          <w:sz w:val="23"/>
        </w:rPr>
      </w:pPr>
      <w:r w:rsidRPr="0044544A">
        <w:rPr>
          <w:rFonts w:ascii="Century Gothic" w:hAnsi="Century Gothic"/>
          <w:sz w:val="23"/>
        </w:rPr>
        <w:t>La date de mise en paie</w:t>
      </w:r>
      <w:r>
        <w:rPr>
          <w:rFonts w:ascii="Century Gothic" w:hAnsi="Century Gothic"/>
          <w:sz w:val="23"/>
        </w:rPr>
        <w:t>ment des actions est fixée au 05 juin</w:t>
      </w:r>
      <w:r w:rsidRPr="0044544A">
        <w:rPr>
          <w:rFonts w:ascii="Century Gothic" w:hAnsi="Century Gothic"/>
          <w:sz w:val="23"/>
        </w:rPr>
        <w:t xml:space="preserve"> 201</w:t>
      </w:r>
      <w:r>
        <w:rPr>
          <w:rFonts w:ascii="Century Gothic" w:hAnsi="Century Gothic"/>
          <w:sz w:val="23"/>
        </w:rPr>
        <w:t>8</w:t>
      </w:r>
      <w:r w:rsidRPr="0044544A">
        <w:rPr>
          <w:rFonts w:ascii="Century Gothic" w:hAnsi="Century Gothic"/>
          <w:sz w:val="23"/>
        </w:rPr>
        <w:t>. Le paiem</w:t>
      </w:r>
      <w:r>
        <w:rPr>
          <w:rFonts w:ascii="Century Gothic" w:hAnsi="Century Gothic"/>
          <w:sz w:val="23"/>
        </w:rPr>
        <w:t>ent est domicilié auprès de la Société Générale.</w:t>
      </w: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Deuxième Résolution</w:t>
      </w:r>
      <w:r w:rsidRPr="00F43F2A">
        <w:rPr>
          <w:rFonts w:ascii="Century Gothic" w:hAnsi="Century Gothic"/>
          <w:b/>
          <w:bCs/>
          <w:szCs w:val="28"/>
        </w:rPr>
        <w:t> </w:t>
      </w:r>
    </w:p>
    <w:p w:rsidR="00CC27D0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Rapport des Commissaires Aux Comptes – Exercice 2017</w:t>
      </w:r>
    </w:p>
    <w:p w:rsidR="00CC27D0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</w:p>
    <w:p w:rsidR="00CC27D0" w:rsidRPr="0061461D" w:rsidRDefault="00CC27D0" w:rsidP="00CC27D0">
      <w:pPr>
        <w:jc w:val="both"/>
        <w:rPr>
          <w:rFonts w:ascii="Century Gothic" w:hAnsi="Century Gothic"/>
          <w:b/>
          <w:bCs/>
          <w:szCs w:val="28"/>
          <w:u w:val="single"/>
        </w:rPr>
      </w:pPr>
      <w:r w:rsidRPr="0044544A">
        <w:rPr>
          <w:rFonts w:ascii="Century Gothic" w:hAnsi="Century Gothic"/>
          <w:bCs/>
        </w:rPr>
        <w:t>L’Assemblée Générale, après avoir entendu le rapport des commissaires aux comptes sur les conventions visées à l’article 56 de la loi du 30 Août 1996, approuve les termes et conclusions de ce rapport.</w:t>
      </w:r>
    </w:p>
    <w:p w:rsidR="00CC27D0" w:rsidRDefault="00CC27D0" w:rsidP="00CC27D0">
      <w:pPr>
        <w:ind w:right="-2"/>
        <w:jc w:val="both"/>
        <w:outlineLvl w:val="0"/>
        <w:rPr>
          <w:rFonts w:ascii="Century Gothic" w:hAnsi="Century Gothic"/>
          <w:bCs/>
        </w:rPr>
      </w:pPr>
    </w:p>
    <w:p w:rsidR="00073DD4" w:rsidRDefault="00073DD4" w:rsidP="00CC27D0">
      <w:pPr>
        <w:ind w:right="-2"/>
        <w:jc w:val="both"/>
        <w:outlineLvl w:val="0"/>
        <w:rPr>
          <w:rFonts w:ascii="Century Gothic" w:hAnsi="Century Gothic"/>
          <w:bCs/>
        </w:rPr>
      </w:pPr>
    </w:p>
    <w:p w:rsidR="00073DD4" w:rsidRPr="0044544A" w:rsidRDefault="00073DD4" w:rsidP="00CC27D0">
      <w:pPr>
        <w:ind w:right="-2"/>
        <w:jc w:val="both"/>
        <w:outlineLvl w:val="0"/>
        <w:rPr>
          <w:rFonts w:ascii="Century Gothic" w:hAnsi="Century Gothic"/>
          <w:bCs/>
        </w:rPr>
      </w:pPr>
    </w:p>
    <w:p w:rsidR="00CC27D0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  <w:r>
        <w:rPr>
          <w:rFonts w:ascii="Century Gothic" w:hAnsi="Century Gothic"/>
          <w:b/>
          <w:bCs/>
          <w:szCs w:val="28"/>
          <w:u w:val="single"/>
        </w:rPr>
        <w:lastRenderedPageBreak/>
        <w:t>Troisième Résolution</w:t>
      </w:r>
    </w:p>
    <w:p w:rsidR="00CC27D0" w:rsidRPr="005D5EBE" w:rsidRDefault="00CC27D0" w:rsidP="00CC2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Rapport Spécial des Commissaires aux comptes</w:t>
      </w:r>
    </w:p>
    <w:p w:rsidR="00CC27D0" w:rsidRDefault="00CC27D0" w:rsidP="00CC27D0">
      <w:pPr>
        <w:ind w:right="-2"/>
        <w:jc w:val="both"/>
        <w:outlineLvl w:val="0"/>
        <w:rPr>
          <w:rFonts w:ascii="Century Gothic" w:hAnsi="Century Gothic"/>
          <w:bCs/>
        </w:rPr>
      </w:pPr>
      <w:r w:rsidRPr="00450FBD">
        <w:rPr>
          <w:rFonts w:ascii="Century Gothic" w:hAnsi="Century Gothic"/>
          <w:bCs/>
        </w:rPr>
        <w:t>L’Assemblée Générale</w:t>
      </w:r>
      <w:r>
        <w:rPr>
          <w:rFonts w:ascii="Century Gothic" w:hAnsi="Century Gothic"/>
          <w:bCs/>
        </w:rPr>
        <w:t xml:space="preserve"> </w:t>
      </w:r>
      <w:r w:rsidRPr="008D27B9">
        <w:rPr>
          <w:rFonts w:ascii="Century Gothic" w:hAnsi="Century Gothic"/>
        </w:rPr>
        <w:t xml:space="preserve">statuant dans les conditions de quorum et </w:t>
      </w:r>
      <w:r>
        <w:rPr>
          <w:rFonts w:ascii="Century Gothic" w:hAnsi="Century Gothic"/>
          <w:sz w:val="23"/>
        </w:rPr>
        <w:t xml:space="preserve">de majorité </w:t>
      </w:r>
      <w:r w:rsidRPr="008D27B9">
        <w:rPr>
          <w:rFonts w:ascii="Century Gothic" w:hAnsi="Century Gothic"/>
        </w:rPr>
        <w:t>pris pour les réunions ordinaires</w:t>
      </w:r>
      <w:r w:rsidRPr="00450FBD">
        <w:rPr>
          <w:rFonts w:ascii="Century Gothic" w:hAnsi="Century Gothic"/>
          <w:bCs/>
        </w:rPr>
        <w:t>, après avoir entendu le rapport spécial des commissaires aux comptes sur les conventions visées à l’article 56 de la loi du 30 Août 1996, approuve les termes et conclusions de ce rapport.</w:t>
      </w:r>
    </w:p>
    <w:p w:rsidR="00CC27D0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</w:p>
    <w:p w:rsidR="00CC27D0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Quatrième Résolution</w:t>
      </w:r>
      <w:r w:rsidRPr="00F43F2A">
        <w:rPr>
          <w:rFonts w:ascii="Century Gothic" w:hAnsi="Century Gothic"/>
          <w:b/>
          <w:bCs/>
          <w:szCs w:val="28"/>
        </w:rPr>
        <w:t> </w:t>
      </w:r>
    </w:p>
    <w:p w:rsidR="00CC27D0" w:rsidRDefault="00CC27D0" w:rsidP="00CC27D0">
      <w:pPr>
        <w:jc w:val="center"/>
        <w:rPr>
          <w:rFonts w:ascii="Century Gothic" w:hAnsi="Century Gothic"/>
          <w:b/>
          <w:bCs/>
          <w:szCs w:val="28"/>
          <w:u w:val="single"/>
        </w:rPr>
      </w:pPr>
      <w:r w:rsidRPr="00F43F2A">
        <w:rPr>
          <w:rFonts w:ascii="Century Gothic" w:hAnsi="Century Gothic"/>
          <w:b/>
          <w:bCs/>
          <w:szCs w:val="28"/>
          <w:u w:val="single"/>
        </w:rPr>
        <w:t>Affectation Des Résultats et fixation Dividende</w:t>
      </w:r>
    </w:p>
    <w:p w:rsidR="00CC27D0" w:rsidRPr="0039251B" w:rsidRDefault="00CC27D0" w:rsidP="00CC27D0">
      <w:pPr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C27D0" w:rsidRDefault="00CC27D0" w:rsidP="00CC27D0">
      <w:pPr>
        <w:ind w:right="-2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44544A">
        <w:rPr>
          <w:rFonts w:ascii="Century Gothic" w:hAnsi="Century Gothic"/>
          <w:sz w:val="23"/>
        </w:rPr>
        <w:t xml:space="preserve">L’Assemblée Générale </w:t>
      </w:r>
      <w:r>
        <w:rPr>
          <w:rFonts w:ascii="Century Gothic" w:hAnsi="Century Gothic"/>
          <w:sz w:val="23"/>
        </w:rPr>
        <w:t>statuant dans les conditions de quorum et de majorité pris pour les réunions ordinaires</w:t>
      </w:r>
      <w:r w:rsidRPr="0044544A">
        <w:rPr>
          <w:rFonts w:ascii="Century Gothic" w:hAnsi="Century Gothic"/>
          <w:sz w:val="23"/>
        </w:rPr>
        <w:t xml:space="preserve"> décide de </w:t>
      </w:r>
      <w:r>
        <w:rPr>
          <w:rFonts w:ascii="Century Gothic" w:hAnsi="Century Gothic"/>
          <w:sz w:val="23"/>
        </w:rPr>
        <w:t xml:space="preserve">fixer les dividendes à répartir de 135,00 DH. (Cent trente-cinq </w:t>
      </w:r>
      <w:r w:rsidRPr="0044544A">
        <w:rPr>
          <w:rFonts w:ascii="Century Gothic" w:hAnsi="Century Gothic"/>
          <w:sz w:val="23"/>
        </w:rPr>
        <w:t>DIRHAMS) par action.</w:t>
      </w:r>
    </w:p>
    <w:p w:rsidR="00CC27D0" w:rsidRDefault="00CC27D0" w:rsidP="00CC27D0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Cinquième</w:t>
      </w:r>
      <w:r w:rsidRPr="00F43F2A">
        <w:rPr>
          <w:rFonts w:ascii="Century Gothic" w:hAnsi="Century Gothic"/>
          <w:b/>
          <w:bCs/>
          <w:u w:val="single"/>
        </w:rPr>
        <w:t xml:space="preserve"> Résolution</w:t>
      </w:r>
      <w:r w:rsidRPr="00F43F2A">
        <w:rPr>
          <w:rFonts w:ascii="Century Gothic" w:hAnsi="Century Gothic"/>
          <w:b/>
          <w:bCs/>
        </w:rPr>
        <w:t> </w:t>
      </w: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 w:rsidRPr="00F43F2A">
        <w:rPr>
          <w:rFonts w:ascii="Century Gothic" w:hAnsi="Century Gothic"/>
          <w:b/>
          <w:bCs/>
          <w:u w:val="single"/>
        </w:rPr>
        <w:t>Quitus aux Administrateurs</w:t>
      </w:r>
    </w:p>
    <w:p w:rsidR="00CC27D0" w:rsidRPr="0039251B" w:rsidRDefault="00CC27D0" w:rsidP="00CC27D0">
      <w:pPr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CC27D0" w:rsidRDefault="00CC27D0" w:rsidP="00CC27D0">
      <w:pPr>
        <w:ind w:right="-2"/>
        <w:jc w:val="both"/>
        <w:outlineLvl w:val="0"/>
        <w:rPr>
          <w:rFonts w:ascii="Century Gothic" w:hAnsi="Century Gothic"/>
          <w:sz w:val="23"/>
        </w:rPr>
      </w:pPr>
      <w:r w:rsidRPr="0044544A">
        <w:rPr>
          <w:rFonts w:ascii="Century Gothic" w:hAnsi="Century Gothic"/>
          <w:sz w:val="23"/>
        </w:rPr>
        <w:t xml:space="preserve">L’Assemblée Générale </w:t>
      </w:r>
      <w:r>
        <w:rPr>
          <w:rFonts w:ascii="Century Gothic" w:hAnsi="Century Gothic"/>
          <w:sz w:val="23"/>
        </w:rPr>
        <w:t>statuant dans les conditions de quorum et de majorité pris pour les réunions ordinaires</w:t>
      </w:r>
      <w:r w:rsidRPr="0044544A">
        <w:rPr>
          <w:rFonts w:ascii="Century Gothic" w:hAnsi="Century Gothic"/>
          <w:sz w:val="23"/>
        </w:rPr>
        <w:t xml:space="preserve"> donn</w:t>
      </w:r>
      <w:r>
        <w:rPr>
          <w:rFonts w:ascii="Century Gothic" w:hAnsi="Century Gothic"/>
          <w:sz w:val="23"/>
        </w:rPr>
        <w:t xml:space="preserve">e à tous les membres du Conseil </w:t>
      </w:r>
      <w:r w:rsidRPr="0044544A">
        <w:rPr>
          <w:rFonts w:ascii="Century Gothic" w:hAnsi="Century Gothic"/>
          <w:sz w:val="23"/>
        </w:rPr>
        <w:t>d’Administration quitus entier et définitif de leur mandat pour l’exercice clos le 31 décembre 201</w:t>
      </w:r>
      <w:r>
        <w:rPr>
          <w:rFonts w:ascii="Century Gothic" w:hAnsi="Century Gothic"/>
          <w:sz w:val="23"/>
        </w:rPr>
        <w:t>7</w:t>
      </w:r>
      <w:r w:rsidRPr="0044544A">
        <w:rPr>
          <w:rFonts w:ascii="Century Gothic" w:hAnsi="Century Gothic"/>
          <w:sz w:val="23"/>
        </w:rPr>
        <w:t>.</w:t>
      </w:r>
    </w:p>
    <w:p w:rsidR="00CC27D0" w:rsidRDefault="00CC27D0" w:rsidP="00CC27D0">
      <w:pPr>
        <w:jc w:val="right"/>
        <w:rPr>
          <w:rFonts w:ascii="Century Gothic" w:hAnsi="Century Gothic"/>
          <w:sz w:val="23"/>
          <w:u w:val="single"/>
        </w:rPr>
      </w:pP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Sixième </w:t>
      </w:r>
      <w:r w:rsidRPr="00F43F2A">
        <w:rPr>
          <w:rFonts w:ascii="Century Gothic" w:hAnsi="Century Gothic"/>
          <w:b/>
          <w:bCs/>
          <w:u w:val="single"/>
        </w:rPr>
        <w:t>Résolution</w:t>
      </w:r>
      <w:r w:rsidRPr="00F43F2A">
        <w:rPr>
          <w:rFonts w:ascii="Century Gothic" w:hAnsi="Century Gothic"/>
          <w:b/>
          <w:bCs/>
        </w:rPr>
        <w:t> </w:t>
      </w:r>
    </w:p>
    <w:p w:rsidR="00CC27D0" w:rsidRPr="00F43F2A" w:rsidRDefault="00CC27D0" w:rsidP="00CC27D0">
      <w:pPr>
        <w:jc w:val="center"/>
        <w:rPr>
          <w:rFonts w:ascii="Century Gothic" w:hAnsi="Century Gothic"/>
          <w:b/>
          <w:bCs/>
          <w:dstrike/>
          <w:u w:val="single"/>
        </w:rPr>
      </w:pPr>
      <w:r w:rsidRPr="00F43F2A">
        <w:rPr>
          <w:rFonts w:ascii="Century Gothic" w:hAnsi="Century Gothic"/>
          <w:b/>
          <w:bCs/>
          <w:u w:val="single"/>
        </w:rPr>
        <w:t xml:space="preserve">Renouvellement Mandat Administrateur </w:t>
      </w:r>
    </w:p>
    <w:p w:rsidR="00CC27D0" w:rsidRDefault="00CC27D0" w:rsidP="00CC27D0">
      <w:pPr>
        <w:jc w:val="right"/>
        <w:rPr>
          <w:rFonts w:ascii="Century Gothic" w:hAnsi="Century Gothic"/>
          <w:sz w:val="23"/>
          <w:u w:val="single"/>
        </w:rPr>
      </w:pPr>
    </w:p>
    <w:p w:rsidR="00CC27D0" w:rsidRPr="0039251B" w:rsidRDefault="00CC27D0" w:rsidP="00CC27D0">
      <w:pPr>
        <w:tabs>
          <w:tab w:val="left" w:pos="5000"/>
          <w:tab w:val="right" w:pos="9072"/>
        </w:tabs>
        <w:jc w:val="both"/>
        <w:rPr>
          <w:rFonts w:ascii="Century Gothic" w:hAnsi="Century Gothic"/>
          <w:b/>
        </w:rPr>
      </w:pPr>
      <w:r w:rsidRPr="0044544A">
        <w:rPr>
          <w:rFonts w:ascii="Century Gothic" w:hAnsi="Century Gothic"/>
          <w:bCs/>
        </w:rPr>
        <w:t>L’Assemblée Générale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sz w:val="23"/>
        </w:rPr>
        <w:t>statuant dans les conditions de quorum et de majorité pris pour les réunions ordinaires</w:t>
      </w:r>
      <w:r w:rsidRPr="0044544A">
        <w:rPr>
          <w:rFonts w:ascii="Century Gothic" w:hAnsi="Century Gothic"/>
          <w:bCs/>
        </w:rPr>
        <w:t>, constatant l’arrivée à terme du mandat d’administrateur de la société</w:t>
      </w:r>
      <w:r>
        <w:rPr>
          <w:rFonts w:ascii="Century Gothic" w:hAnsi="Century Gothic"/>
          <w:b/>
        </w:rPr>
        <w:t xml:space="preserve"> </w:t>
      </w:r>
      <w:r w:rsidRPr="00964AC2">
        <w:rPr>
          <w:rFonts w:ascii="Century Gothic" w:hAnsi="Century Gothic"/>
          <w:b/>
        </w:rPr>
        <w:t xml:space="preserve">La Caisse Interprofessionnelle Marocaine de </w:t>
      </w:r>
      <w:r>
        <w:rPr>
          <w:rFonts w:ascii="Century Gothic" w:hAnsi="Century Gothic"/>
          <w:b/>
        </w:rPr>
        <w:t>Retraite</w:t>
      </w:r>
      <w:r>
        <w:rPr>
          <w:rFonts w:ascii="Century Gothic" w:hAnsi="Century Gothic"/>
        </w:rPr>
        <w:t>, r</w:t>
      </w:r>
      <w:r w:rsidRPr="00964AC2">
        <w:rPr>
          <w:rFonts w:ascii="Century Gothic" w:hAnsi="Century Gothic"/>
        </w:rPr>
        <w:t>eprésent</w:t>
      </w:r>
      <w:r>
        <w:rPr>
          <w:rFonts w:ascii="Century Gothic" w:hAnsi="Century Gothic"/>
        </w:rPr>
        <w:t>ée par</w:t>
      </w:r>
      <w:r w:rsidRPr="00964AC2">
        <w:rPr>
          <w:rFonts w:ascii="Century Gothic" w:hAnsi="Century Gothic"/>
        </w:rPr>
        <w:t> </w:t>
      </w:r>
      <w:r>
        <w:rPr>
          <w:rFonts w:ascii="Century Gothic" w:hAnsi="Century Gothic"/>
        </w:rPr>
        <w:t>son représentant permanant</w:t>
      </w:r>
      <w:r w:rsidRPr="00964AC2">
        <w:rPr>
          <w:rFonts w:ascii="Century Gothic" w:hAnsi="Century Gothic"/>
        </w:rPr>
        <w:t xml:space="preserve"> M</w:t>
      </w:r>
      <w:r>
        <w:rPr>
          <w:rFonts w:ascii="Century Gothic" w:hAnsi="Century Gothic"/>
        </w:rPr>
        <w:t>r</w:t>
      </w:r>
      <w:r w:rsidRPr="00964AC2">
        <w:rPr>
          <w:rFonts w:ascii="Century Gothic" w:hAnsi="Century Gothic"/>
        </w:rPr>
        <w:t>. Khalid CHEDDADI</w:t>
      </w:r>
      <w:r>
        <w:rPr>
          <w:rFonts w:ascii="Century Gothic" w:hAnsi="Century Gothic"/>
          <w:b/>
        </w:rPr>
        <w:t xml:space="preserve">, </w:t>
      </w:r>
      <w:r w:rsidRPr="0044544A">
        <w:rPr>
          <w:rFonts w:ascii="Century Gothic" w:hAnsi="Century Gothic"/>
          <w:bCs/>
        </w:rPr>
        <w:t>décide de le renouveler pour une durée statutaire de six (6) ans, soit jusqu'à la</w:t>
      </w:r>
      <w:r w:rsidRPr="0044544A">
        <w:rPr>
          <w:rFonts w:ascii="Century Gothic" w:hAnsi="Century Gothic"/>
          <w:bCs/>
          <w:sz w:val="23"/>
        </w:rPr>
        <w:t xml:space="preserve"> tenue </w:t>
      </w:r>
      <w:r w:rsidRPr="0044544A">
        <w:rPr>
          <w:rFonts w:ascii="Century Gothic" w:hAnsi="Century Gothic"/>
          <w:sz w:val="23"/>
        </w:rPr>
        <w:t>de l’</w:t>
      </w:r>
      <w:r>
        <w:rPr>
          <w:rFonts w:ascii="Century Gothic" w:hAnsi="Century Gothic"/>
          <w:sz w:val="23"/>
        </w:rPr>
        <w:t>A</w:t>
      </w:r>
      <w:r w:rsidRPr="0044544A">
        <w:rPr>
          <w:rFonts w:ascii="Century Gothic" w:hAnsi="Century Gothic"/>
          <w:sz w:val="23"/>
        </w:rPr>
        <w:t xml:space="preserve">ssemblée </w:t>
      </w:r>
      <w:r>
        <w:rPr>
          <w:rFonts w:ascii="Century Gothic" w:hAnsi="Century Gothic"/>
          <w:sz w:val="23"/>
        </w:rPr>
        <w:t>G</w:t>
      </w:r>
      <w:r w:rsidRPr="0044544A">
        <w:rPr>
          <w:rFonts w:ascii="Century Gothic" w:hAnsi="Century Gothic"/>
          <w:sz w:val="23"/>
        </w:rPr>
        <w:t xml:space="preserve">énérale </w:t>
      </w:r>
      <w:r>
        <w:rPr>
          <w:rFonts w:ascii="Century Gothic" w:hAnsi="Century Gothic"/>
          <w:sz w:val="23"/>
        </w:rPr>
        <w:t>O</w:t>
      </w:r>
      <w:r w:rsidRPr="0044544A">
        <w:rPr>
          <w:rFonts w:ascii="Century Gothic" w:hAnsi="Century Gothic"/>
          <w:sz w:val="23"/>
        </w:rPr>
        <w:t>rdinaire qui statuera sur les comptes de l’exercice clos le 31 Décembre 202</w:t>
      </w:r>
      <w:r>
        <w:rPr>
          <w:rFonts w:ascii="Century Gothic" w:hAnsi="Century Gothic"/>
          <w:sz w:val="23"/>
        </w:rPr>
        <w:t>4</w:t>
      </w:r>
      <w:r w:rsidRPr="0044544A">
        <w:rPr>
          <w:rFonts w:ascii="Century Gothic" w:hAnsi="Century Gothic"/>
          <w:sz w:val="23"/>
        </w:rPr>
        <w:t>.</w:t>
      </w:r>
    </w:p>
    <w:p w:rsidR="00CC27D0" w:rsidRPr="005D5EBE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Septième </w:t>
      </w:r>
      <w:r w:rsidRPr="005D5EBE">
        <w:rPr>
          <w:rFonts w:ascii="Century Gothic" w:hAnsi="Century Gothic"/>
          <w:b/>
          <w:bCs/>
          <w:u w:val="single"/>
        </w:rPr>
        <w:t>Résolution</w:t>
      </w:r>
      <w:r w:rsidRPr="00F43F2A">
        <w:rPr>
          <w:rFonts w:ascii="Century Gothic" w:hAnsi="Century Gothic"/>
          <w:b/>
          <w:bCs/>
        </w:rPr>
        <w:t> </w:t>
      </w:r>
      <w:r w:rsidRPr="005D5EBE">
        <w:rPr>
          <w:rFonts w:ascii="Century Gothic" w:hAnsi="Century Gothic"/>
          <w:b/>
          <w:bCs/>
          <w:u w:val="single"/>
        </w:rPr>
        <w:t xml:space="preserve"> </w:t>
      </w:r>
    </w:p>
    <w:p w:rsidR="00CC27D0" w:rsidRPr="005D5EBE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 w:rsidRPr="005D5EBE">
        <w:rPr>
          <w:rFonts w:ascii="Century Gothic" w:hAnsi="Century Gothic"/>
          <w:b/>
          <w:bCs/>
          <w:u w:val="single"/>
        </w:rPr>
        <w:t>Fixation des jetons de présence</w:t>
      </w:r>
    </w:p>
    <w:p w:rsidR="00CC27D0" w:rsidRDefault="00CC27D0" w:rsidP="00CC27D0">
      <w:pPr>
        <w:jc w:val="right"/>
        <w:rPr>
          <w:rFonts w:ascii="Century Gothic" w:hAnsi="Century Gothic"/>
          <w:sz w:val="23"/>
          <w:u w:val="single"/>
        </w:rPr>
      </w:pPr>
    </w:p>
    <w:p w:rsidR="00CC27D0" w:rsidRDefault="00CC27D0" w:rsidP="00CC27D0">
      <w:pPr>
        <w:ind w:right="-2"/>
        <w:jc w:val="both"/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>L’Assemblée Générale statuant dans les conditions de quorum et de majorité pris pour les réunions ordinaires, alloue au Conseil d’Administration en rémunération de l’activité des membres, à titre de jetons de présence, pour l’exercice clos le 31 décembre 2017, un montant brut annuel de 4 000 000,00 DHS.</w:t>
      </w:r>
    </w:p>
    <w:p w:rsidR="00CC27D0" w:rsidRPr="001A4286" w:rsidRDefault="00CC27D0" w:rsidP="00CC27D0">
      <w:pPr>
        <w:ind w:right="-2"/>
        <w:jc w:val="both"/>
        <w:rPr>
          <w:rFonts w:ascii="Century Gothic" w:hAnsi="Century Gothic"/>
          <w:sz w:val="8"/>
          <w:szCs w:val="8"/>
        </w:rPr>
      </w:pPr>
    </w:p>
    <w:p w:rsidR="00CC27D0" w:rsidRDefault="00CC27D0" w:rsidP="00CC27D0">
      <w:pPr>
        <w:ind w:right="-2"/>
        <w:jc w:val="both"/>
        <w:rPr>
          <w:rFonts w:ascii="Century Gothic" w:hAnsi="Century Gothic"/>
          <w:sz w:val="23"/>
        </w:rPr>
      </w:pPr>
      <w:r>
        <w:rPr>
          <w:rFonts w:ascii="Century Gothic" w:hAnsi="Century Gothic"/>
          <w:sz w:val="23"/>
        </w:rPr>
        <w:t xml:space="preserve">Cette somme sera répartie librement entre les membres du Conseil d’Administration. </w:t>
      </w:r>
    </w:p>
    <w:p w:rsidR="00CC27D0" w:rsidRPr="00AB6BB4" w:rsidRDefault="00CC27D0" w:rsidP="00CC27D0">
      <w:pPr>
        <w:ind w:right="-2"/>
        <w:jc w:val="both"/>
        <w:rPr>
          <w:rFonts w:ascii="Century Gothic" w:hAnsi="Century Gothic"/>
          <w:sz w:val="23"/>
        </w:rPr>
      </w:pPr>
    </w:p>
    <w:p w:rsidR="00CC27D0" w:rsidRDefault="00CC27D0" w:rsidP="00CC27D0">
      <w:pPr>
        <w:rPr>
          <w:rFonts w:ascii="Century Gothic" w:hAnsi="Century Gothic"/>
          <w:sz w:val="23"/>
          <w:u w:val="single"/>
        </w:rPr>
      </w:pPr>
    </w:p>
    <w:p w:rsidR="00CC27D0" w:rsidRPr="005D5EBE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Huitième</w:t>
      </w:r>
      <w:r w:rsidRPr="005D5EBE">
        <w:rPr>
          <w:rFonts w:ascii="Century Gothic" w:hAnsi="Century Gothic"/>
          <w:b/>
          <w:bCs/>
          <w:u w:val="single"/>
        </w:rPr>
        <w:t xml:space="preserve"> Résolution</w:t>
      </w:r>
    </w:p>
    <w:p w:rsidR="00CC27D0" w:rsidRPr="005D5EBE" w:rsidRDefault="00CC27D0" w:rsidP="00CC27D0">
      <w:pPr>
        <w:jc w:val="center"/>
        <w:rPr>
          <w:rFonts w:ascii="Century Gothic" w:hAnsi="Century Gothic"/>
          <w:b/>
          <w:bCs/>
          <w:u w:val="single"/>
        </w:rPr>
      </w:pPr>
      <w:r w:rsidRPr="005D5EBE">
        <w:rPr>
          <w:rFonts w:ascii="Century Gothic" w:hAnsi="Century Gothic"/>
          <w:b/>
          <w:bCs/>
          <w:u w:val="single"/>
        </w:rPr>
        <w:t>Formalités - Pouvoirs</w:t>
      </w:r>
    </w:p>
    <w:p w:rsidR="00CC27D0" w:rsidRPr="005D5EBE" w:rsidRDefault="00CC27D0" w:rsidP="00CC27D0">
      <w:pPr>
        <w:jc w:val="center"/>
        <w:rPr>
          <w:rFonts w:ascii="Century Gothic" w:hAnsi="Century Gothic"/>
          <w:bCs/>
          <w:u w:val="single"/>
        </w:rPr>
      </w:pPr>
    </w:p>
    <w:p w:rsidR="00CC27D0" w:rsidRDefault="00CC27D0" w:rsidP="00CC27D0">
      <w:pPr>
        <w:ind w:right="-2"/>
        <w:jc w:val="both"/>
        <w:outlineLvl w:val="0"/>
        <w:rPr>
          <w:rFonts w:ascii="Century Gothic" w:hAnsi="Century Gothic"/>
          <w:bCs/>
          <w:sz w:val="23"/>
        </w:rPr>
      </w:pPr>
      <w:r w:rsidRPr="00450FBD">
        <w:rPr>
          <w:rFonts w:ascii="Century Gothic" w:hAnsi="Century Gothic"/>
        </w:rPr>
        <w:t>L'Assemblée Générale confère tous</w:t>
      </w:r>
      <w:r w:rsidRPr="00450FBD">
        <w:rPr>
          <w:rFonts w:ascii="Century Gothic" w:hAnsi="Century Gothic"/>
          <w:bCs/>
          <w:sz w:val="23"/>
        </w:rPr>
        <w:t xml:space="preserve"> pouvoirs au porteur d’un original ou d’une copie des présentes pour effectuer les formalités de dépôt et de publicité prévues par la loi.</w:t>
      </w:r>
    </w:p>
    <w:p w:rsidR="00CC27D0" w:rsidRDefault="00CC27D0" w:rsidP="00CC27D0"/>
    <w:p w:rsidR="00CC27D0" w:rsidRPr="00702C1B" w:rsidRDefault="00CC27D0">
      <w:pPr>
        <w:rPr>
          <w:rFonts w:ascii="Century Gothic" w:hAnsi="Century Gothic"/>
        </w:rPr>
      </w:pPr>
    </w:p>
    <w:sectPr w:rsidR="00CC27D0" w:rsidRPr="00702C1B" w:rsidSect="00EC4AE6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Lol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131"/>
    <w:multiLevelType w:val="hybridMultilevel"/>
    <w:tmpl w:val="01BE3C5E"/>
    <w:lvl w:ilvl="0" w:tplc="C7D83B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B79C2"/>
    <w:multiLevelType w:val="hybridMultilevel"/>
    <w:tmpl w:val="9B1CF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0DBF"/>
    <w:multiLevelType w:val="hybridMultilevel"/>
    <w:tmpl w:val="F0E41E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B"/>
    <w:rsid w:val="00026488"/>
    <w:rsid w:val="00073DD4"/>
    <w:rsid w:val="000B6947"/>
    <w:rsid w:val="000D36D3"/>
    <w:rsid w:val="00127A16"/>
    <w:rsid w:val="00133D07"/>
    <w:rsid w:val="00357372"/>
    <w:rsid w:val="004072AC"/>
    <w:rsid w:val="005F7367"/>
    <w:rsid w:val="006655F9"/>
    <w:rsid w:val="006E6B77"/>
    <w:rsid w:val="00702C1B"/>
    <w:rsid w:val="007102DE"/>
    <w:rsid w:val="007507FB"/>
    <w:rsid w:val="00753265"/>
    <w:rsid w:val="00875982"/>
    <w:rsid w:val="00892C50"/>
    <w:rsid w:val="00B11EF5"/>
    <w:rsid w:val="00BF7381"/>
    <w:rsid w:val="00C46D7F"/>
    <w:rsid w:val="00CC27D0"/>
    <w:rsid w:val="00CD0881"/>
    <w:rsid w:val="00D7666D"/>
    <w:rsid w:val="00DE11BB"/>
    <w:rsid w:val="00EC4AE6"/>
    <w:rsid w:val="00EE7D3D"/>
    <w:rsid w:val="00F16717"/>
    <w:rsid w:val="00F21A27"/>
    <w:rsid w:val="00F92DB3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4442-8890-4EE3-A3D6-7EE504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C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5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Zouida</dc:creator>
  <cp:keywords/>
  <dc:description/>
  <cp:lastModifiedBy>Jalal Zouida</cp:lastModifiedBy>
  <cp:revision>8</cp:revision>
  <cp:lastPrinted>2018-03-23T17:38:00Z</cp:lastPrinted>
  <dcterms:created xsi:type="dcterms:W3CDTF">2018-03-23T17:01:00Z</dcterms:created>
  <dcterms:modified xsi:type="dcterms:W3CDTF">2018-03-23T17:39:00Z</dcterms:modified>
</cp:coreProperties>
</file>